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1E7" w:rsidRDefault="009361E7" w:rsidP="009361E7">
      <w:pPr>
        <w:pStyle w:val="1"/>
      </w:pPr>
      <w:r>
        <w:t>(75-20-7) 电石  碳化钙的理化及危险特性表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3942"/>
        <w:gridCol w:w="2428"/>
        <w:gridCol w:w="2318"/>
      </w:tblGrid>
      <w:tr w:rsidR="009361E7" w:rsidTr="0090435F">
        <w:trPr>
          <w:cantSplit/>
          <w:jc w:val="center"/>
        </w:trPr>
        <w:tc>
          <w:tcPr>
            <w:tcW w:w="486" w:type="dxa"/>
            <w:vMerge w:val="restart"/>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标</w:t>
            </w:r>
          </w:p>
          <w:p w:rsidR="009361E7" w:rsidRDefault="009361E7" w:rsidP="0090435F">
            <w:pPr>
              <w:spacing w:line="304" w:lineRule="exact"/>
              <w:rPr>
                <w:rFonts w:ascii="宋体" w:hAnsi="宋体"/>
              </w:rPr>
            </w:pPr>
            <w:r>
              <w:rPr>
                <w:rFonts w:ascii="宋体" w:hAnsi="宋体" w:hint="eastAsia"/>
              </w:rPr>
              <w:t>识</w:t>
            </w: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中文名：</w:t>
            </w:r>
            <w:r>
              <w:rPr>
                <w:rFonts w:ascii="宋体" w:hAnsi="宋体" w:hint="eastAsia"/>
                <w:szCs w:val="18"/>
              </w:rPr>
              <w:t>碳化钙；电石</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calcium carbide </w:t>
            </w:r>
            <w:r>
              <w:rPr>
                <w:rFonts w:ascii="宋体" w:hAnsi="宋体" w:hint="eastAsia"/>
                <w:szCs w:val="18"/>
                <w:lang w:val="en-GB"/>
              </w:rPr>
              <w:t>；</w:t>
            </w:r>
            <w:r>
              <w:rPr>
                <w:rFonts w:ascii="宋体" w:hAnsi="宋体" w:hint="eastAsia"/>
                <w:szCs w:val="18"/>
              </w:rPr>
              <w:t>acetylenogen</w:t>
            </w:r>
          </w:p>
        </w:tc>
      </w:tr>
      <w:tr w:rsidR="009361E7" w:rsidTr="0090435F">
        <w:trPr>
          <w:cantSplit/>
          <w:jc w:val="center"/>
        </w:trPr>
        <w:tc>
          <w:tcPr>
            <w:tcW w:w="486" w:type="dxa"/>
            <w:vMerge/>
            <w:tcBorders>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CaC</w:t>
            </w:r>
            <w:r>
              <w:rPr>
                <w:rFonts w:ascii="宋体" w:hAnsi="宋体" w:hint="eastAsia"/>
                <w:szCs w:val="18"/>
                <w:vertAlign w:val="subscript"/>
              </w:rPr>
              <w:t>2</w:t>
            </w:r>
          </w:p>
        </w:tc>
        <w:tc>
          <w:tcPr>
            <w:tcW w:w="2428"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分子量：60.10</w:t>
            </w:r>
          </w:p>
        </w:tc>
        <w:tc>
          <w:tcPr>
            <w:tcW w:w="2318"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UN编号：1402</w:t>
            </w:r>
          </w:p>
        </w:tc>
      </w:tr>
      <w:tr w:rsidR="009361E7" w:rsidTr="0090435F">
        <w:trPr>
          <w:cantSplit/>
          <w:jc w:val="center"/>
        </w:trPr>
        <w:tc>
          <w:tcPr>
            <w:tcW w:w="486" w:type="dxa"/>
            <w:vMerge/>
            <w:tcBorders>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危险类别：第4.3类 遇湿易燃物品</w:t>
            </w:r>
          </w:p>
        </w:tc>
        <w:tc>
          <w:tcPr>
            <w:tcW w:w="2428"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危规号： 43025</w:t>
            </w:r>
          </w:p>
        </w:tc>
        <w:tc>
          <w:tcPr>
            <w:tcW w:w="2318"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CAS号：75－20－7</w:t>
            </w:r>
          </w:p>
        </w:tc>
      </w:tr>
      <w:tr w:rsidR="009361E7" w:rsidTr="0090435F">
        <w:trPr>
          <w:cantSplit/>
          <w:jc w:val="center"/>
        </w:trPr>
        <w:tc>
          <w:tcPr>
            <w:tcW w:w="486" w:type="dxa"/>
            <w:vMerge/>
            <w:tcBorders>
              <w:left w:val="single" w:sz="4" w:space="0" w:color="auto"/>
              <w:bottom w:val="nil"/>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包装标志：遇湿易燃物品</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包装类别：Ⅱ类</w:t>
            </w:r>
          </w:p>
        </w:tc>
      </w:tr>
      <w:tr w:rsidR="009361E7" w:rsidTr="0090435F">
        <w:trPr>
          <w:cantSplit/>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理</w:t>
            </w:r>
          </w:p>
          <w:p w:rsidR="009361E7" w:rsidRDefault="009361E7" w:rsidP="0090435F">
            <w:pPr>
              <w:spacing w:line="304" w:lineRule="exact"/>
              <w:jc w:val="center"/>
              <w:rPr>
                <w:rFonts w:ascii="宋体" w:hAnsi="宋体"/>
              </w:rPr>
            </w:pPr>
            <w:r>
              <w:rPr>
                <w:rFonts w:ascii="宋体" w:hAnsi="宋体" w:hint="eastAsia"/>
              </w:rPr>
              <w:t>化</w:t>
            </w:r>
          </w:p>
          <w:p w:rsidR="009361E7" w:rsidRDefault="009361E7" w:rsidP="0090435F">
            <w:pPr>
              <w:spacing w:line="304" w:lineRule="exact"/>
              <w:jc w:val="center"/>
              <w:rPr>
                <w:rFonts w:ascii="宋体" w:hAnsi="宋体"/>
              </w:rPr>
            </w:pPr>
            <w:r>
              <w:rPr>
                <w:rFonts w:ascii="宋体" w:hAnsi="宋体" w:hint="eastAsia"/>
              </w:rPr>
              <w:t>性</w:t>
            </w:r>
          </w:p>
          <w:p w:rsidR="009361E7" w:rsidRDefault="009361E7" w:rsidP="0090435F">
            <w:pPr>
              <w:spacing w:line="304" w:lineRule="exact"/>
              <w:jc w:val="center"/>
              <w:rPr>
                <w:rFonts w:ascii="宋体" w:hAnsi="宋体"/>
              </w:rPr>
            </w:pPr>
            <w:r>
              <w:rPr>
                <w:rFonts w:ascii="宋体" w:hAnsi="宋体" w:hint="eastAsia"/>
              </w:rPr>
              <w:t>质</w:t>
            </w: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外观与性状：</w:t>
            </w:r>
            <w:r>
              <w:rPr>
                <w:rFonts w:ascii="_x000B__x000C_" w:hAnsi="_x000B__x000C_" w:hint="eastAsia"/>
                <w:szCs w:val="18"/>
              </w:rPr>
              <w:t>无色晶体，工业品为灰黑色块状物，断面为紫色或灰色。</w:t>
            </w:r>
          </w:p>
        </w:tc>
      </w:tr>
      <w:tr w:rsidR="009361E7" w:rsidTr="0090435F">
        <w:trPr>
          <w:cantSplit/>
          <w:jc w:val="center"/>
        </w:trPr>
        <w:tc>
          <w:tcPr>
            <w:tcW w:w="486" w:type="dxa"/>
            <w:vMerge/>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 xml:space="preserve">溶解性： </w:t>
            </w:r>
          </w:p>
        </w:tc>
      </w:tr>
      <w:tr w:rsidR="009361E7" w:rsidTr="0090435F">
        <w:trPr>
          <w:cantSplit/>
          <w:jc w:val="center"/>
        </w:trPr>
        <w:tc>
          <w:tcPr>
            <w:tcW w:w="486" w:type="dxa"/>
            <w:vMerge/>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熔点（℃）：2300</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沸点（℃）：无资料</w:t>
            </w:r>
          </w:p>
        </w:tc>
      </w:tr>
      <w:tr w:rsidR="009361E7" w:rsidTr="0090435F">
        <w:trPr>
          <w:cantSplit/>
          <w:jc w:val="center"/>
        </w:trPr>
        <w:tc>
          <w:tcPr>
            <w:tcW w:w="486" w:type="dxa"/>
            <w:vMerge/>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相对密度（水＝1）：2.22</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相对密度（空气＝1）：无资料</w:t>
            </w:r>
          </w:p>
        </w:tc>
      </w:tr>
      <w:tr w:rsidR="009361E7" w:rsidTr="0090435F">
        <w:trPr>
          <w:cantSplit/>
          <w:jc w:val="center"/>
        </w:trPr>
        <w:tc>
          <w:tcPr>
            <w:tcW w:w="486" w:type="dxa"/>
            <w:vMerge/>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饱和蒸气压（kPa）：无资料</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 xml:space="preserve">燃烧热（kJ/mol）： </w:t>
            </w:r>
          </w:p>
        </w:tc>
      </w:tr>
      <w:tr w:rsidR="009361E7" w:rsidTr="0090435F">
        <w:trPr>
          <w:cantSplit/>
          <w:trHeight w:val="163"/>
          <w:jc w:val="center"/>
        </w:trPr>
        <w:tc>
          <w:tcPr>
            <w:tcW w:w="486" w:type="dxa"/>
            <w:vMerge/>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spacing w:val="-20"/>
              </w:rPr>
            </w:pPr>
            <w:r>
              <w:rPr>
                <w:rFonts w:ascii="宋体" w:hAnsi="宋体" w:hint="eastAsia"/>
              </w:rPr>
              <w:t>临界温度（℃）：</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spacing w:val="-20"/>
              </w:rPr>
            </w:pPr>
            <w:r>
              <w:rPr>
                <w:rFonts w:ascii="宋体" w:hAnsi="宋体" w:hint="eastAsia"/>
                <w:spacing w:val="-20"/>
              </w:rPr>
              <w:t>临界压力（MPa）：</w:t>
            </w:r>
          </w:p>
        </w:tc>
      </w:tr>
      <w:tr w:rsidR="009361E7" w:rsidTr="0090435F">
        <w:trPr>
          <w:cantSplit/>
          <w:jc w:val="center"/>
        </w:trPr>
        <w:tc>
          <w:tcPr>
            <w:tcW w:w="486" w:type="dxa"/>
            <w:vMerge w:val="restart"/>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燃</w:t>
            </w:r>
          </w:p>
          <w:p w:rsidR="009361E7" w:rsidRDefault="009361E7" w:rsidP="0090435F">
            <w:pPr>
              <w:spacing w:line="304" w:lineRule="exact"/>
              <w:jc w:val="center"/>
              <w:rPr>
                <w:rFonts w:ascii="宋体" w:hAnsi="宋体"/>
              </w:rPr>
            </w:pPr>
            <w:r>
              <w:rPr>
                <w:rFonts w:ascii="宋体" w:hAnsi="宋体" w:hint="eastAsia"/>
              </w:rPr>
              <w:t>烧</w:t>
            </w:r>
          </w:p>
          <w:p w:rsidR="009361E7" w:rsidRDefault="009361E7" w:rsidP="0090435F">
            <w:pPr>
              <w:spacing w:line="304" w:lineRule="exact"/>
              <w:jc w:val="center"/>
              <w:rPr>
                <w:rFonts w:ascii="宋体" w:hAnsi="宋体"/>
              </w:rPr>
            </w:pPr>
            <w:r>
              <w:rPr>
                <w:rFonts w:ascii="宋体" w:hAnsi="宋体" w:hint="eastAsia"/>
              </w:rPr>
              <w:t>爆</w:t>
            </w:r>
          </w:p>
          <w:p w:rsidR="009361E7" w:rsidRDefault="009361E7" w:rsidP="0090435F">
            <w:pPr>
              <w:spacing w:line="304" w:lineRule="exact"/>
              <w:jc w:val="center"/>
              <w:rPr>
                <w:rFonts w:ascii="宋体" w:hAnsi="宋体"/>
              </w:rPr>
            </w:pPr>
            <w:r>
              <w:rPr>
                <w:rFonts w:ascii="宋体" w:hAnsi="宋体" w:hint="eastAsia"/>
              </w:rPr>
              <w:t>炸</w:t>
            </w:r>
          </w:p>
          <w:p w:rsidR="009361E7" w:rsidRDefault="009361E7" w:rsidP="0090435F">
            <w:pPr>
              <w:spacing w:line="304" w:lineRule="exact"/>
              <w:jc w:val="center"/>
              <w:rPr>
                <w:rFonts w:ascii="宋体" w:hAnsi="宋体"/>
              </w:rPr>
            </w:pPr>
            <w:r>
              <w:rPr>
                <w:rFonts w:ascii="宋体" w:hAnsi="宋体" w:hint="eastAsia"/>
              </w:rPr>
              <w:t>危</w:t>
            </w:r>
          </w:p>
          <w:p w:rsidR="009361E7" w:rsidRDefault="009361E7" w:rsidP="0090435F">
            <w:pPr>
              <w:spacing w:line="304" w:lineRule="exact"/>
              <w:jc w:val="center"/>
              <w:rPr>
                <w:rFonts w:ascii="宋体" w:hAnsi="宋体"/>
              </w:rPr>
            </w:pPr>
            <w:r>
              <w:rPr>
                <w:rFonts w:ascii="宋体" w:hAnsi="宋体" w:hint="eastAsia"/>
              </w:rPr>
              <w:t>险</w:t>
            </w:r>
          </w:p>
          <w:p w:rsidR="009361E7" w:rsidRDefault="009361E7" w:rsidP="0090435F">
            <w:pPr>
              <w:spacing w:line="304" w:lineRule="exact"/>
              <w:jc w:val="center"/>
              <w:rPr>
                <w:rFonts w:ascii="宋体" w:hAnsi="宋体"/>
              </w:rPr>
            </w:pPr>
            <w:r>
              <w:rPr>
                <w:rFonts w:ascii="宋体" w:hAnsi="宋体" w:hint="eastAsia"/>
              </w:rPr>
              <w:t>性</w:t>
            </w: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燃烧性： 遇湿易燃</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闪点（℃）：无意义</w:t>
            </w:r>
          </w:p>
        </w:tc>
      </w:tr>
      <w:tr w:rsidR="009361E7" w:rsidTr="0090435F">
        <w:trPr>
          <w:cantSplit/>
          <w:jc w:val="center"/>
        </w:trPr>
        <w:tc>
          <w:tcPr>
            <w:tcW w:w="486" w:type="dxa"/>
            <w:vMerge/>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爆炸下限（%）：无资料</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爆炸上限（%）：  无资料</w:t>
            </w:r>
          </w:p>
        </w:tc>
      </w:tr>
      <w:tr w:rsidR="009361E7" w:rsidTr="0090435F">
        <w:trPr>
          <w:cantSplit/>
          <w:jc w:val="center"/>
        </w:trPr>
        <w:tc>
          <w:tcPr>
            <w:tcW w:w="486" w:type="dxa"/>
            <w:vMerge/>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引燃温度（℃）：无资料</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最小点火能（mJ）：无资料</w:t>
            </w:r>
          </w:p>
        </w:tc>
      </w:tr>
      <w:tr w:rsidR="009361E7" w:rsidTr="0090435F">
        <w:trPr>
          <w:cantSplit/>
          <w:jc w:val="center"/>
        </w:trPr>
        <w:tc>
          <w:tcPr>
            <w:tcW w:w="486" w:type="dxa"/>
            <w:vMerge/>
            <w:tcBorders>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最大爆炸压力（MPa）：无资料</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稳定性： 稳定</w:t>
            </w:r>
          </w:p>
        </w:tc>
      </w:tr>
      <w:tr w:rsidR="009361E7" w:rsidTr="0090435F">
        <w:trPr>
          <w:cantSplit/>
          <w:jc w:val="center"/>
        </w:trPr>
        <w:tc>
          <w:tcPr>
            <w:tcW w:w="486" w:type="dxa"/>
            <w:vMerge/>
            <w:tcBorders>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聚合危害： 不聚合</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燃烧分解产物：</w:t>
            </w:r>
            <w:r>
              <w:rPr>
                <w:rFonts w:ascii="_x000B__x000C_" w:hAnsi="_x000B__x000C_" w:hint="eastAsia"/>
                <w:szCs w:val="18"/>
              </w:rPr>
              <w:t>乙炔、一氧化碳、二氧化碳。</w:t>
            </w:r>
          </w:p>
        </w:tc>
      </w:tr>
      <w:tr w:rsidR="009361E7" w:rsidTr="0090435F">
        <w:trPr>
          <w:cantSplit/>
          <w:jc w:val="center"/>
        </w:trPr>
        <w:tc>
          <w:tcPr>
            <w:tcW w:w="486" w:type="dxa"/>
            <w:vMerge/>
            <w:tcBorders>
              <w:left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3942"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避免接触的条件：</w:t>
            </w:r>
            <w:r>
              <w:rPr>
                <w:rFonts w:ascii="_x000B__x000C_" w:hAnsi="_x000B__x000C_" w:hint="eastAsia"/>
                <w:szCs w:val="18"/>
              </w:rPr>
              <w:t>潮湿空气。</w:t>
            </w: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color w:val="000000"/>
              </w:rPr>
              <w:t>禁忌物：</w:t>
            </w:r>
            <w:r>
              <w:rPr>
                <w:rFonts w:ascii="_x000B__x000C_" w:hAnsi="_x000B__x000C_" w:hint="eastAsia"/>
                <w:szCs w:val="18"/>
              </w:rPr>
              <w:t>水、醇类、酸类。</w:t>
            </w:r>
          </w:p>
        </w:tc>
      </w:tr>
      <w:tr w:rsidR="009361E7" w:rsidTr="0090435F">
        <w:trPr>
          <w:cantSplit/>
          <w:jc w:val="center"/>
        </w:trPr>
        <w:tc>
          <w:tcPr>
            <w:tcW w:w="486" w:type="dxa"/>
            <w:vMerge/>
            <w:tcBorders>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color w:val="000000"/>
              </w:rPr>
            </w:pPr>
            <w:r>
              <w:rPr>
                <w:rFonts w:ascii="宋体" w:hAnsi="宋体" w:hint="eastAsia"/>
              </w:rPr>
              <w:t>危险特性：</w:t>
            </w:r>
            <w:r>
              <w:rPr>
                <w:rFonts w:ascii="宋体" w:hAnsi="宋体" w:hint="eastAsia"/>
                <w:szCs w:val="18"/>
              </w:rPr>
              <w:t>干燥时不燃，遇水或湿气能迅速产生高度易燃的乙炔气体，在空气中达到一定的浓度时, 可发生爆炸性灾害。与酸类物质能发生剧烈反应。</w:t>
            </w:r>
          </w:p>
        </w:tc>
      </w:tr>
      <w:tr w:rsidR="009361E7" w:rsidTr="0090435F">
        <w:trPr>
          <w:cantSplit/>
          <w:jc w:val="center"/>
        </w:trPr>
        <w:tc>
          <w:tcPr>
            <w:tcW w:w="486" w:type="dxa"/>
            <w:vMerge/>
            <w:tcBorders>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灭火方法：</w:t>
            </w:r>
            <w:r>
              <w:rPr>
                <w:rFonts w:ascii="_x000B__x000C_" w:hAnsi="_x000B__x000C_" w:hint="eastAsia"/>
                <w:szCs w:val="18"/>
              </w:rPr>
              <w:t>禁止用水和泡沫灭火。二氧化碳也无效。须用干燥石墨粉或其它干粉灭火。</w:t>
            </w:r>
          </w:p>
        </w:tc>
      </w:tr>
      <w:tr w:rsidR="009361E7" w:rsidTr="0090435F">
        <w:trPr>
          <w:cantSplit/>
          <w:jc w:val="center"/>
        </w:trPr>
        <w:tc>
          <w:tcPr>
            <w:tcW w:w="486"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毒</w:t>
            </w:r>
          </w:p>
          <w:p w:rsidR="009361E7" w:rsidRDefault="009361E7" w:rsidP="0090435F">
            <w:pPr>
              <w:spacing w:line="304" w:lineRule="exact"/>
              <w:jc w:val="center"/>
              <w:rPr>
                <w:rFonts w:ascii="宋体" w:hAnsi="宋体"/>
              </w:rPr>
            </w:pPr>
            <w:r>
              <w:rPr>
                <w:rFonts w:ascii="宋体" w:hAnsi="宋体" w:hint="eastAsia"/>
              </w:rPr>
              <w:t>性</w:t>
            </w: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9361E7" w:rsidRDefault="009361E7" w:rsidP="0090435F">
            <w:pPr>
              <w:spacing w:line="304"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p>
        </w:tc>
      </w:tr>
      <w:tr w:rsidR="009361E7" w:rsidTr="0090435F">
        <w:trPr>
          <w:cantSplit/>
          <w:trHeight w:val="240"/>
          <w:jc w:val="center"/>
        </w:trPr>
        <w:tc>
          <w:tcPr>
            <w:tcW w:w="486" w:type="dxa"/>
            <w:vMerge w:val="restart"/>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健康危害</w:t>
            </w: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rPr>
              <w:t>侵入途经：吸入、食入。</w:t>
            </w:r>
          </w:p>
        </w:tc>
      </w:tr>
      <w:tr w:rsidR="009361E7" w:rsidTr="0090435F">
        <w:trPr>
          <w:cantSplit/>
          <w:trHeight w:val="819"/>
          <w:jc w:val="center"/>
        </w:trPr>
        <w:tc>
          <w:tcPr>
            <w:tcW w:w="486" w:type="dxa"/>
            <w:vMerge/>
            <w:tcBorders>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szCs w:val="18"/>
              </w:rPr>
              <w:t>损害皮肤，引起皮肤瘙痒、炎症、“鸟眼”样溃疡、黑皮病。皮肤灼伤表现为创面长期不愈及慢性溃疡型。接触工人出现汗少、牙釉质损害、龋齿发病率增高。</w:t>
            </w:r>
          </w:p>
        </w:tc>
      </w:tr>
      <w:tr w:rsidR="009361E7" w:rsidTr="0090435F">
        <w:trPr>
          <w:cantSplit/>
          <w:jc w:val="center"/>
        </w:trPr>
        <w:tc>
          <w:tcPr>
            <w:tcW w:w="486" w:type="dxa"/>
            <w:tcBorders>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急</w:t>
            </w:r>
          </w:p>
          <w:p w:rsidR="009361E7" w:rsidRDefault="009361E7" w:rsidP="0090435F">
            <w:pPr>
              <w:spacing w:line="304" w:lineRule="exact"/>
              <w:jc w:val="center"/>
              <w:rPr>
                <w:rFonts w:ascii="宋体" w:hAnsi="宋体"/>
              </w:rPr>
            </w:pPr>
            <w:r>
              <w:rPr>
                <w:rFonts w:ascii="宋体" w:hAnsi="宋体" w:hint="eastAsia"/>
              </w:rPr>
              <w:t>救</w:t>
            </w:r>
          </w:p>
        </w:tc>
        <w:tc>
          <w:tcPr>
            <w:tcW w:w="8688" w:type="dxa"/>
            <w:gridSpan w:val="3"/>
            <w:tcBorders>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color w:val="000000"/>
              </w:rPr>
              <w:t>皮肤接触：</w:t>
            </w:r>
            <w:r>
              <w:rPr>
                <w:rFonts w:ascii="宋体" w:hAnsi="宋体" w:hint="eastAsia"/>
                <w:szCs w:val="18"/>
              </w:rPr>
              <w:t>立即脱去污染的衣着，用大量流动清水冲洗至少15分钟。就医。</w:t>
            </w:r>
            <w:r>
              <w:rPr>
                <w:rFonts w:ascii="宋体" w:hAnsi="宋体" w:hint="eastAsia"/>
                <w:color w:val="000000"/>
              </w:rPr>
              <w:t xml:space="preserve">   ※眼睛接触：</w:t>
            </w:r>
            <w:r>
              <w:rPr>
                <w:rFonts w:ascii="宋体" w:hAnsi="宋体" w:hint="eastAsia"/>
                <w:szCs w:val="18"/>
              </w:rPr>
              <w:t>立即提起眼睑，用大量流动清水或生理盐水彻底冲洗至少15分钟。就医。</w:t>
            </w:r>
            <w:r>
              <w:rPr>
                <w:rFonts w:ascii="宋体" w:hAnsi="宋体" w:hint="eastAsia"/>
                <w:color w:val="000000"/>
              </w:rPr>
              <w:t xml:space="preserve">    ※吸入：</w:t>
            </w:r>
            <w:r>
              <w:rPr>
                <w:rFonts w:ascii="宋体" w:hAnsi="宋体" w:hint="eastAsia"/>
                <w:szCs w:val="18"/>
              </w:rPr>
              <w:t>脱离现场至空气新鲜处。保持呼吸道通畅。如呼吸困难，给输氧。如呼吸停止，立即进行人工呼吸。就医。</w:t>
            </w:r>
            <w:r>
              <w:rPr>
                <w:rFonts w:ascii="宋体" w:hAnsi="宋体" w:hint="eastAsia"/>
                <w:color w:val="000000"/>
              </w:rPr>
              <w:t xml:space="preserve">   ※食入：</w:t>
            </w:r>
            <w:r>
              <w:rPr>
                <w:rFonts w:ascii="宋体" w:hAnsi="宋体" w:hint="eastAsia"/>
                <w:szCs w:val="18"/>
              </w:rPr>
              <w:t>饮足量温水，催吐。就医。</w:t>
            </w:r>
          </w:p>
        </w:tc>
      </w:tr>
      <w:tr w:rsidR="009361E7" w:rsidTr="0090435F">
        <w:trPr>
          <w:cantSplit/>
          <w:jc w:val="center"/>
        </w:trPr>
        <w:tc>
          <w:tcPr>
            <w:tcW w:w="486"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防</w:t>
            </w:r>
          </w:p>
          <w:p w:rsidR="009361E7" w:rsidRDefault="009361E7" w:rsidP="0090435F">
            <w:pPr>
              <w:spacing w:line="304" w:lineRule="exact"/>
              <w:jc w:val="center"/>
              <w:rPr>
                <w:rFonts w:ascii="宋体" w:hAnsi="宋体"/>
              </w:rPr>
            </w:pPr>
            <w:r>
              <w:rPr>
                <w:rFonts w:ascii="宋体" w:hAnsi="宋体" w:hint="eastAsia"/>
              </w:rPr>
              <w:t>护</w:t>
            </w: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color w:val="000000"/>
              </w:rPr>
              <w:t>工程控制：</w:t>
            </w:r>
            <w:r>
              <w:rPr>
                <w:rFonts w:ascii="宋体" w:hAnsi="宋体" w:hint="eastAsia"/>
                <w:szCs w:val="18"/>
              </w:rPr>
              <w:t>密闭操作，全面排风。</w:t>
            </w:r>
            <w:r>
              <w:rPr>
                <w:rFonts w:ascii="宋体" w:hAnsi="宋体" w:hint="eastAsia"/>
                <w:color w:val="000000"/>
              </w:rPr>
              <w:t xml:space="preserve">   ※呼吸系统防护：</w:t>
            </w:r>
            <w:r>
              <w:rPr>
                <w:rFonts w:ascii="宋体" w:hAnsi="宋体" w:hint="eastAsia"/>
                <w:szCs w:val="18"/>
              </w:rPr>
              <w:t>作业时，应该佩戴自吸过滤式防尘口罩。</w:t>
            </w:r>
            <w:r>
              <w:rPr>
                <w:rFonts w:ascii="宋体" w:hAnsi="宋体" w:hint="eastAsia"/>
                <w:color w:val="000000"/>
              </w:rPr>
              <w:t xml:space="preserve">    ※眼睛防护：戴化学安全防护眼镜。     ※身体防护：</w:t>
            </w:r>
            <w:r>
              <w:rPr>
                <w:rFonts w:ascii="宋体" w:hAnsi="宋体" w:hint="eastAsia"/>
                <w:szCs w:val="18"/>
              </w:rPr>
              <w:t>穿化学防护服。</w:t>
            </w:r>
            <w:r>
              <w:rPr>
                <w:rFonts w:ascii="宋体" w:hAnsi="宋体" w:hint="eastAsia"/>
                <w:color w:val="000000"/>
              </w:rPr>
              <w:t xml:space="preserve">    ※手防护：</w:t>
            </w:r>
            <w:r>
              <w:rPr>
                <w:rFonts w:ascii="宋体" w:hAnsi="宋体" w:hint="eastAsia"/>
                <w:szCs w:val="18"/>
              </w:rPr>
              <w:t>戴橡胶手套。</w:t>
            </w:r>
            <w:r>
              <w:rPr>
                <w:rFonts w:ascii="宋体" w:hAnsi="宋体" w:hint="eastAsia"/>
                <w:color w:val="000000"/>
              </w:rPr>
              <w:t xml:space="preserve">    ※其他：</w:t>
            </w:r>
            <w:r>
              <w:rPr>
                <w:rFonts w:ascii="宋体" w:hAnsi="宋体" w:hint="eastAsia"/>
                <w:szCs w:val="18"/>
              </w:rPr>
              <w:t>工作现场严禁吸烟。注意个人清洁卫生。</w:t>
            </w:r>
          </w:p>
        </w:tc>
      </w:tr>
      <w:tr w:rsidR="009361E7" w:rsidTr="0090435F">
        <w:trPr>
          <w:cantSplit/>
          <w:jc w:val="center"/>
        </w:trPr>
        <w:tc>
          <w:tcPr>
            <w:tcW w:w="486" w:type="dxa"/>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泄</w:t>
            </w:r>
          </w:p>
          <w:p w:rsidR="009361E7" w:rsidRDefault="009361E7" w:rsidP="0090435F">
            <w:pPr>
              <w:spacing w:line="304" w:lineRule="exact"/>
              <w:jc w:val="center"/>
              <w:rPr>
                <w:rFonts w:ascii="宋体" w:hAnsi="宋体"/>
              </w:rPr>
            </w:pPr>
            <w:r>
              <w:rPr>
                <w:rFonts w:ascii="宋体" w:hAnsi="宋体" w:hint="eastAsia"/>
              </w:rPr>
              <w:t>漏</w:t>
            </w:r>
          </w:p>
          <w:p w:rsidR="009361E7" w:rsidRDefault="009361E7" w:rsidP="0090435F">
            <w:pPr>
              <w:spacing w:line="304" w:lineRule="exact"/>
              <w:jc w:val="center"/>
              <w:rPr>
                <w:rFonts w:ascii="宋体" w:hAnsi="宋体"/>
              </w:rPr>
            </w:pPr>
            <w:r>
              <w:rPr>
                <w:rFonts w:ascii="宋体" w:hAnsi="宋体" w:hint="eastAsia"/>
              </w:rPr>
              <w:t>处</w:t>
            </w:r>
          </w:p>
          <w:p w:rsidR="009361E7" w:rsidRDefault="009361E7" w:rsidP="0090435F">
            <w:pPr>
              <w:spacing w:line="304" w:lineRule="exact"/>
              <w:jc w:val="center"/>
              <w:rPr>
                <w:rFonts w:ascii="宋体" w:hAnsi="宋体"/>
              </w:rPr>
            </w:pPr>
            <w:r>
              <w:rPr>
                <w:rFonts w:ascii="宋体" w:hAnsi="宋体" w:hint="eastAsia"/>
              </w:rPr>
              <w:t>理</w:t>
            </w:r>
          </w:p>
        </w:tc>
        <w:tc>
          <w:tcPr>
            <w:tcW w:w="8688" w:type="dxa"/>
            <w:gridSpan w:val="3"/>
            <w:tcBorders>
              <w:top w:val="single" w:sz="4" w:space="0" w:color="auto"/>
              <w:left w:val="single" w:sz="4" w:space="0" w:color="auto"/>
              <w:bottom w:val="single" w:sz="4" w:space="0" w:color="auto"/>
              <w:right w:val="single" w:sz="4" w:space="0" w:color="auto"/>
            </w:tcBorders>
            <w:vAlign w:val="center"/>
          </w:tcPr>
          <w:p w:rsidR="009361E7" w:rsidRDefault="009361E7" w:rsidP="0090435F">
            <w:pPr>
              <w:spacing w:line="304" w:lineRule="exact"/>
              <w:rPr>
                <w:rFonts w:ascii="宋体" w:hAnsi="宋体"/>
              </w:rPr>
            </w:pPr>
            <w:r>
              <w:rPr>
                <w:rFonts w:ascii="宋体" w:hAnsi="宋体" w:hint="eastAsia"/>
                <w:szCs w:val="18"/>
              </w:rPr>
              <w:t>隔离泄漏污染区，限制出入。切断火源。建议应急处理人员戴自给正压式呼吸器，穿化学防护服。不要直接接触泄漏物。小量泄漏：用砂土、干燥石灰或苏打灰混合。使用无火花工具收集于干燥、洁净、有盖的容器中，转移至安全场所。大量泄漏：用塑料布、帆布覆盖。与有关技术部门联系，确定清除方法。</w:t>
            </w:r>
          </w:p>
        </w:tc>
      </w:tr>
      <w:tr w:rsidR="009361E7" w:rsidTr="0090435F">
        <w:trPr>
          <w:cantSplit/>
          <w:jc w:val="center"/>
        </w:trPr>
        <w:tc>
          <w:tcPr>
            <w:tcW w:w="486" w:type="dxa"/>
            <w:tcBorders>
              <w:top w:val="single" w:sz="4" w:space="0" w:color="auto"/>
              <w:left w:val="single" w:sz="4" w:space="0" w:color="auto"/>
              <w:right w:val="single" w:sz="4" w:space="0" w:color="auto"/>
            </w:tcBorders>
            <w:vAlign w:val="center"/>
          </w:tcPr>
          <w:p w:rsidR="009361E7" w:rsidRDefault="009361E7" w:rsidP="0090435F">
            <w:pPr>
              <w:spacing w:line="304" w:lineRule="exact"/>
              <w:jc w:val="center"/>
              <w:rPr>
                <w:rFonts w:ascii="宋体" w:hAnsi="宋体"/>
              </w:rPr>
            </w:pPr>
            <w:r>
              <w:rPr>
                <w:rFonts w:ascii="宋体" w:hAnsi="宋体" w:hint="eastAsia"/>
              </w:rPr>
              <w:t>储</w:t>
            </w:r>
          </w:p>
          <w:p w:rsidR="009361E7" w:rsidRDefault="009361E7" w:rsidP="0090435F">
            <w:pPr>
              <w:spacing w:line="304" w:lineRule="exact"/>
              <w:jc w:val="center"/>
              <w:rPr>
                <w:rFonts w:ascii="宋体" w:hAnsi="宋体"/>
                <w:bCs/>
              </w:rPr>
            </w:pPr>
            <w:r>
              <w:rPr>
                <w:rFonts w:ascii="宋体" w:hAnsi="宋体" w:hint="eastAsia"/>
                <w:bCs/>
              </w:rPr>
              <w:t>运</w:t>
            </w:r>
          </w:p>
        </w:tc>
        <w:tc>
          <w:tcPr>
            <w:tcW w:w="8688" w:type="dxa"/>
            <w:gridSpan w:val="3"/>
            <w:tcBorders>
              <w:top w:val="single" w:sz="4" w:space="0" w:color="auto"/>
              <w:left w:val="single" w:sz="4" w:space="0" w:color="auto"/>
              <w:right w:val="single" w:sz="4" w:space="0" w:color="auto"/>
            </w:tcBorders>
            <w:vAlign w:val="center"/>
          </w:tcPr>
          <w:p w:rsidR="009361E7" w:rsidRDefault="009361E7" w:rsidP="0090435F">
            <w:pPr>
              <w:spacing w:line="304" w:lineRule="exact"/>
              <w:rPr>
                <w:rFonts w:ascii="宋体" w:hAnsi="宋体"/>
                <w:szCs w:val="18"/>
              </w:rPr>
            </w:pPr>
            <w:r>
              <w:rPr>
                <w:rFonts w:ascii="宋体" w:hAnsi="宋体" w:hint="eastAsia"/>
                <w:szCs w:val="18"/>
              </w:rPr>
              <w:t>储存于阴凉、干燥、通风良好的库房。远离火种、热源。相对湿度保持在75％以下。包装必须密封，切勿受潮。应与酸类、醇类等分开存放，切忌混储。储区应备有合适的材料收容泄漏物。</w:t>
            </w:r>
          </w:p>
          <w:p w:rsidR="009361E7" w:rsidRDefault="009361E7" w:rsidP="0090435F">
            <w:pPr>
              <w:spacing w:line="304" w:lineRule="exact"/>
              <w:rPr>
                <w:rFonts w:ascii="宋体" w:hAnsi="宋体"/>
              </w:rPr>
            </w:pPr>
            <w:r>
              <w:rPr>
                <w:rFonts w:ascii="宋体" w:hAnsi="宋体" w:hint="eastAsia"/>
                <w:szCs w:val="18"/>
              </w:rPr>
              <w:t>运输时铁桶不许倒置。桶内充有氮气时，应在包装上标明，并在货物运单上注明。运输时运输车辆应配备相应品种和数量的消防器材及泄漏应急处理设备。装运本品的车辆排气管须有阻火装置。运输过程中要确保容器不泄漏、不倒塌、不坠落、不损坏。严禁与酸类、醇类等混装混运。运输途中应防曝晒、雨淋，防高温。中途停留时应远离火种、热源。运输用车、船必须干燥，并有良好的防雨设施。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E7"/>
    <w:rsid w:val="009361E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2F520-E74D-4F6B-94EB-AD269389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361E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361E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Company>zyhq</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